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5DE" w:rsidRDefault="00326F5F">
      <w:pPr>
        <w:tabs>
          <w:tab w:val="center" w:pos="4536"/>
          <w:tab w:val="right" w:pos="9000"/>
        </w:tabs>
        <w:ind w:right="2"/>
        <w:jc w:val="both"/>
        <w:rPr>
          <w:b/>
          <w:bCs/>
          <w:sz w:val="24"/>
        </w:rPr>
      </w:pPr>
      <w:bookmarkStart w:id="0" w:name="_Hlk145670493"/>
      <w:r>
        <w:rPr>
          <w:b/>
          <w:bCs/>
          <w:sz w:val="24"/>
        </w:rPr>
        <w:t>3GPP TSG RAN WG1 #115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             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    </w:t>
      </w:r>
      <w:r w:rsidR="00B07027" w:rsidRPr="00B07027">
        <w:rPr>
          <w:b/>
          <w:bCs/>
          <w:sz w:val="24"/>
        </w:rPr>
        <w:t>R1-2311280</w:t>
      </w:r>
    </w:p>
    <w:p w:rsidR="001335DE" w:rsidRDefault="00326F5F">
      <w:pPr>
        <w:tabs>
          <w:tab w:val="center" w:pos="4536"/>
          <w:tab w:val="right" w:pos="9072"/>
        </w:tabs>
        <w:rPr>
          <w:rFonts w:eastAsia="MS Mincho"/>
          <w:b/>
          <w:bCs/>
          <w:sz w:val="24"/>
          <w:lang w:eastAsia="ja-JP"/>
        </w:rPr>
      </w:pPr>
      <w:r>
        <w:rPr>
          <w:rFonts w:eastAsia="MS Mincho"/>
          <w:b/>
          <w:bCs/>
          <w:sz w:val="24"/>
          <w:lang w:eastAsia="ja-JP"/>
        </w:rPr>
        <w:t>Chicago, USA, November 13</w:t>
      </w:r>
      <w:r>
        <w:rPr>
          <w:rFonts w:eastAsia="Malgun Gothic"/>
          <w:b/>
          <w:bCs/>
          <w:sz w:val="24"/>
          <w:vertAlign w:val="superscript"/>
          <w:lang w:eastAsia="ko-KR"/>
        </w:rPr>
        <w:t>th</w:t>
      </w:r>
      <w:r>
        <w:rPr>
          <w:rFonts w:eastAsia="MS Mincho"/>
          <w:b/>
          <w:bCs/>
          <w:sz w:val="24"/>
          <w:lang w:eastAsia="ja-JP"/>
        </w:rPr>
        <w:t xml:space="preserve"> </w:t>
      </w:r>
      <w:r>
        <w:rPr>
          <w:b/>
          <w:bCs/>
          <w:sz w:val="24"/>
        </w:rPr>
        <w:t>– November</w:t>
      </w:r>
      <w:r>
        <w:rPr>
          <w:rFonts w:eastAsia="MS Mincho"/>
          <w:b/>
          <w:bCs/>
          <w:sz w:val="24"/>
          <w:lang w:eastAsia="ja-JP"/>
        </w:rPr>
        <w:t xml:space="preserve"> 17</w:t>
      </w:r>
      <w:r>
        <w:rPr>
          <w:rFonts w:eastAsia="MS Mincho"/>
          <w:b/>
          <w:bCs/>
          <w:sz w:val="24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lang w:eastAsia="ja-JP"/>
        </w:rPr>
        <w:t>, 2023</w:t>
      </w:r>
    </w:p>
    <w:bookmarkEnd w:id="0"/>
    <w:p w:rsidR="001335DE" w:rsidRDefault="001335DE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1335DE" w:rsidRDefault="00326F5F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1335DE" w:rsidRDefault="00326F5F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XR</w:t>
      </w:r>
    </w:p>
    <w:p w:rsidR="001335DE" w:rsidRDefault="00326F5F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8</w:t>
      </w:r>
      <w:r>
        <w:rPr>
          <w:rFonts w:ascii="Times New Roman" w:eastAsia="SimSun" w:hAnsi="Times New Roman"/>
          <w:szCs w:val="20"/>
          <w:lang w:eastAsia="zh-CN"/>
        </w:rPr>
        <w:t>.16.6</w:t>
      </w:r>
    </w:p>
    <w:p w:rsidR="001335DE" w:rsidRDefault="00326F5F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1335DE" w:rsidRDefault="001335DE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1" w:name="Source"/>
      <w:bookmarkStart w:id="2" w:name="DocumentFor"/>
      <w:bookmarkEnd w:id="1"/>
      <w:bookmarkEnd w:id="2"/>
    </w:p>
    <w:p w:rsidR="001335DE" w:rsidRDefault="00326F5F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1335DE" w:rsidRDefault="00326F5F" w:rsidP="00B07027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contribution </w:t>
      </w:r>
      <w:r>
        <w:rPr>
          <w:rStyle w:val="apple-converted-space"/>
          <w:rFonts w:eastAsiaTheme="minorEastAsia"/>
          <w:lang w:eastAsia="zh-CN"/>
        </w:rPr>
        <w:t>elaborates our views on UE features for Rel-18 XR.</w:t>
      </w:r>
    </w:p>
    <w:p w:rsidR="001335DE" w:rsidRDefault="00326F5F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1335DE" w:rsidRDefault="00326F5F">
      <w:pPr>
        <w:pStyle w:val="BodyText"/>
        <w:rPr>
          <w:b/>
          <w:bCs/>
          <w:i/>
          <w:iCs/>
          <w:szCs w:val="20"/>
          <w:u w:val="single"/>
        </w:rPr>
      </w:pPr>
      <w:r>
        <w:rPr>
          <w:b/>
          <w:bCs/>
          <w:i/>
          <w:iCs/>
          <w:szCs w:val="20"/>
          <w:u w:val="single"/>
        </w:rPr>
        <w:t>For FG50-1 and FG50-1a</w:t>
      </w:r>
    </w:p>
    <w:p w:rsidR="001335DE" w:rsidRDefault="00326F5F">
      <w:pPr>
        <w:pStyle w:val="BodyText"/>
        <w:rPr>
          <w:szCs w:val="20"/>
        </w:rPr>
      </w:pPr>
      <w:r>
        <w:rPr>
          <w:szCs w:val="20"/>
        </w:rPr>
        <w:t>Although some part of FG50-1, such as HPID determination and valid CG-PUSCH occasions are more affected by TDD characteristics than by FDD, the basic principle remains the</w:t>
      </w:r>
      <w:r>
        <w:rPr>
          <w:szCs w:val="20"/>
        </w:rPr>
        <w:t xml:space="preserve"> same for both TDD and FDD if XR is considered to be possibly extendable to HD-FDD. In addition, we also do not see the need to have finer granularity than that of prerequisite FG5-19/5-20.  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Proposal 1:  FG50-1 has per-UE granularity, no FDD/TDD different</w:t>
      </w:r>
      <w:r>
        <w:rPr>
          <w:b/>
          <w:bCs/>
          <w:i/>
          <w:iCs/>
          <w:szCs w:val="20"/>
        </w:rPr>
        <w:t xml:space="preserve">iation and no FR1/FR2 differentiation. </w:t>
      </w:r>
    </w:p>
    <w:p w:rsidR="001335DE" w:rsidRDefault="00326F5F">
      <w:pPr>
        <w:pStyle w:val="BodyText"/>
        <w:rPr>
          <w:szCs w:val="20"/>
        </w:rPr>
      </w:pPr>
      <w:r>
        <w:rPr>
          <w:szCs w:val="20"/>
        </w:rPr>
        <w:t>In contrast, FG50-1a should have per-band granularity, due to its potential prerequisite relation or similarity to FG11-9 that has per-band granularity. This also solves both the FDD/TDD differentiation and FR1/FR2 d</w:t>
      </w:r>
      <w:r>
        <w:rPr>
          <w:szCs w:val="20"/>
        </w:rPr>
        <w:t xml:space="preserve">ifferentiation of FG50-1a to “N/A”. 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2: FG50-1a has per-Band granularity.  </w:t>
      </w:r>
    </w:p>
    <w:p w:rsidR="001335DE" w:rsidRDefault="00326F5F">
      <w:pPr>
        <w:pStyle w:val="BodyText"/>
        <w:rPr>
          <w:szCs w:val="20"/>
        </w:rPr>
      </w:pPr>
      <w:r>
        <w:rPr>
          <w:szCs w:val="20"/>
        </w:rPr>
        <w:t>As for the interpretation of the maximum numbers of CG configurations respectively in FG11-9 and FG50-1a in case UE supports the both, we think the issue may depend on a m</w:t>
      </w:r>
      <w:r>
        <w:rPr>
          <w:szCs w:val="20"/>
        </w:rPr>
        <w:t>aintenance discussion, e.g., how the configuration index space for legacy single-PUSCH CG and configuration index space for new multi-PUSCH CG are arranged (e.g., in CG-activation signaling). Therefore, we propose to start the discussion of this issue from</w:t>
      </w:r>
      <w:r>
        <w:rPr>
          <w:szCs w:val="20"/>
        </w:rPr>
        <w:t xml:space="preserve"> maintenance session. 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3: For the interpretation of the maximum numbers of CG configurations respectively in FG11-9 and FG50-1a, UE feature discussion takes into account the further progress from maintenance session about CG configuration index space. </w:t>
      </w:r>
    </w:p>
    <w:p w:rsidR="001335DE" w:rsidRDefault="001335DE">
      <w:pPr>
        <w:pStyle w:val="BodyText"/>
        <w:rPr>
          <w:szCs w:val="20"/>
        </w:rPr>
      </w:pPr>
    </w:p>
    <w:p w:rsidR="001335DE" w:rsidRDefault="00326F5F">
      <w:pPr>
        <w:pStyle w:val="BodyText"/>
        <w:rPr>
          <w:b/>
          <w:bCs/>
          <w:i/>
          <w:iCs/>
          <w:szCs w:val="20"/>
          <w:u w:val="single"/>
        </w:rPr>
      </w:pPr>
      <w:r>
        <w:rPr>
          <w:b/>
          <w:bCs/>
          <w:i/>
          <w:iCs/>
          <w:szCs w:val="20"/>
          <w:u w:val="single"/>
        </w:rPr>
        <w:t>For FG50-2</w:t>
      </w:r>
    </w:p>
    <w:p w:rsidR="001335DE" w:rsidRDefault="00326F5F">
      <w:pPr>
        <w:pStyle w:val="BodyText"/>
        <w:rPr>
          <w:szCs w:val="20"/>
        </w:rPr>
      </w:pPr>
      <w:r>
        <w:rPr>
          <w:szCs w:val="20"/>
        </w:rPr>
        <w:t>For U</w:t>
      </w:r>
      <w:r>
        <w:rPr>
          <w:szCs w:val="20"/>
        </w:rPr>
        <w:t xml:space="preserve">TO-UCI, RAN1 has the following conclusion from RAN1 #114: </w:t>
      </w:r>
    </w:p>
    <w:p w:rsidR="001335DE" w:rsidRDefault="00326F5F">
      <w:pPr>
        <w:rPr>
          <w:rFonts w:cs="Times"/>
          <w:b/>
          <w:bCs/>
          <w:szCs w:val="20"/>
        </w:rPr>
      </w:pPr>
      <w:r>
        <w:rPr>
          <w:rFonts w:cs="Times"/>
          <w:b/>
          <w:bCs/>
          <w:szCs w:val="20"/>
        </w:rPr>
        <w:t>Conclusion</w:t>
      </w:r>
    </w:p>
    <w:p w:rsidR="001335DE" w:rsidRDefault="00326F5F" w:rsidP="00B07027">
      <w:pPr>
        <w:pStyle w:val="ListParagraph"/>
        <w:spacing w:line="259" w:lineRule="auto"/>
        <w:ind w:firstLine="400"/>
        <w:rPr>
          <w:rFonts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ja-JP"/>
        </w:rPr>
        <w:t>Extending the UTO_UCI indication by CG PUSCH(s) of a CG configuration to CG PUSCH(s) of other CG configuration(s) is not supported in Rel-18.</w:t>
      </w:r>
    </w:p>
    <w:p w:rsidR="001335DE" w:rsidRDefault="00326F5F" w:rsidP="00B07027">
      <w:pPr>
        <w:pStyle w:val="BodyText"/>
        <w:spacing w:beforeLines="50"/>
        <w:rPr>
          <w:szCs w:val="20"/>
        </w:rPr>
      </w:pPr>
      <w:r>
        <w:rPr>
          <w:szCs w:val="20"/>
        </w:rPr>
        <w:t>Meanwhile, one CG configuration can be eithe</w:t>
      </w:r>
      <w:r>
        <w:rPr>
          <w:szCs w:val="20"/>
        </w:rPr>
        <w:t xml:space="preserve">r Type-1 CG or Type-2 CG per used RRC parameters, but not both. Therefore, it could be misleading to state that support of both {5-19,5-20} is a prerequisite of support of </w:t>
      </w:r>
      <w:r w:rsidR="00B07027">
        <w:rPr>
          <w:szCs w:val="20"/>
        </w:rPr>
        <w:t xml:space="preserve">UTO-UCI in </w:t>
      </w:r>
      <w:r>
        <w:rPr>
          <w:szCs w:val="20"/>
        </w:rPr>
        <w:t xml:space="preserve">FG50-2.  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</w:t>
      </w:r>
      <w:r>
        <w:rPr>
          <w:b/>
          <w:bCs/>
          <w:i/>
          <w:iCs/>
          <w:szCs w:val="20"/>
        </w:rPr>
        <w:t>4</w:t>
      </w:r>
      <w:r>
        <w:rPr>
          <w:b/>
          <w:bCs/>
          <w:i/>
          <w:iCs/>
          <w:szCs w:val="20"/>
        </w:rPr>
        <w:t>: Change “</w:t>
      </w:r>
      <w:r>
        <w:rPr>
          <w:rFonts w:eastAsia="ＭＳ 明朝"/>
          <w:b/>
          <w:bCs/>
          <w:i/>
          <w:iCs/>
          <w:szCs w:val="20"/>
          <w:lang w:eastAsia="ja-JP"/>
        </w:rPr>
        <w:t>One or both of {5-19, 5-20}</w:t>
      </w:r>
      <w:r>
        <w:rPr>
          <w:b/>
          <w:bCs/>
          <w:i/>
          <w:iCs/>
          <w:szCs w:val="20"/>
        </w:rPr>
        <w:t>” in the prerequisite field</w:t>
      </w:r>
      <w:r>
        <w:rPr>
          <w:b/>
          <w:bCs/>
          <w:i/>
          <w:iCs/>
          <w:szCs w:val="20"/>
        </w:rPr>
        <w:t xml:space="preserve"> to “</w:t>
      </w:r>
      <w:r>
        <w:rPr>
          <w:rFonts w:eastAsia="ＭＳ 明朝"/>
          <w:b/>
          <w:bCs/>
          <w:i/>
          <w:iCs/>
          <w:szCs w:val="20"/>
          <w:lang w:eastAsia="ja-JP"/>
        </w:rPr>
        <w:t xml:space="preserve">One </w:t>
      </w:r>
      <w:r>
        <w:rPr>
          <w:rFonts w:eastAsia="ＭＳ 明朝"/>
          <w:b/>
          <w:bCs/>
          <w:i/>
          <w:iCs/>
          <w:strike/>
          <w:szCs w:val="20"/>
          <w:lang w:eastAsia="ja-JP"/>
        </w:rPr>
        <w:t>or bot</w:t>
      </w:r>
      <w:r>
        <w:rPr>
          <w:rFonts w:eastAsia="ＭＳ 明朝"/>
          <w:b/>
          <w:bCs/>
          <w:i/>
          <w:iCs/>
          <w:strike/>
          <w:szCs w:val="20"/>
          <w:lang w:eastAsia="ja-JP"/>
        </w:rPr>
        <w:t>h</w:t>
      </w:r>
      <w:r>
        <w:rPr>
          <w:rFonts w:eastAsia="ＭＳ 明朝"/>
          <w:b/>
          <w:bCs/>
          <w:i/>
          <w:iCs/>
          <w:szCs w:val="20"/>
          <w:lang w:eastAsia="ja-JP"/>
        </w:rPr>
        <w:t xml:space="preserve"> of {5-19, 5-20}</w:t>
      </w:r>
      <w:r>
        <w:rPr>
          <w:b/>
          <w:bCs/>
          <w:i/>
          <w:iCs/>
          <w:szCs w:val="20"/>
        </w:rPr>
        <w:t>”</w:t>
      </w:r>
    </w:p>
    <w:p w:rsidR="001335DE" w:rsidRDefault="001335DE">
      <w:pPr>
        <w:pStyle w:val="BodyText"/>
        <w:rPr>
          <w:szCs w:val="20"/>
        </w:rPr>
      </w:pPr>
    </w:p>
    <w:p w:rsidR="001335DE" w:rsidRDefault="00326F5F">
      <w:pPr>
        <w:pStyle w:val="BodyText"/>
        <w:rPr>
          <w:b/>
          <w:bCs/>
          <w:i/>
          <w:iCs/>
          <w:szCs w:val="20"/>
          <w:u w:val="single"/>
        </w:rPr>
      </w:pPr>
      <w:r>
        <w:rPr>
          <w:b/>
          <w:bCs/>
          <w:i/>
          <w:iCs/>
          <w:szCs w:val="20"/>
          <w:u w:val="single"/>
        </w:rPr>
        <w:t>For FG50-3</w:t>
      </w:r>
    </w:p>
    <w:p w:rsidR="001335DE" w:rsidRDefault="00326F5F">
      <w:pPr>
        <w:pStyle w:val="BodyText"/>
        <w:rPr>
          <w:szCs w:val="20"/>
        </w:rPr>
      </w:pPr>
      <w:r>
        <w:rPr>
          <w:szCs w:val="20"/>
        </w:rPr>
        <w:t>It was agreed in RAN1 that the UE support of PDCCH monitoring resumption upon a transmission of NACK is titled as FG50-3. However, from technique point of view, this UE feature is more related to PDCCH skipping</w:t>
      </w:r>
      <w:r>
        <w:rPr>
          <w:szCs w:val="20"/>
        </w:rPr>
        <w:t xml:space="preserve"> (FG29-3a) as a part of UE power saving feature rather than just a part of XR. It should make the UE feature management easier if this feature is re-titled to 29-3 series instead of FG50 series.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5: RAN1 considers to re-title FG50-3 to FG29-3f     </w:t>
      </w:r>
    </w:p>
    <w:p w:rsidR="001335DE" w:rsidRDefault="001335DE">
      <w:pPr>
        <w:pStyle w:val="ListParagraph"/>
        <w:numPr>
          <w:ilvl w:val="0"/>
          <w:numId w:val="10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1335DE" w:rsidRDefault="001335DE">
      <w:pPr>
        <w:pStyle w:val="ListParagraph"/>
        <w:numPr>
          <w:ilvl w:val="0"/>
          <w:numId w:val="10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1335DE" w:rsidRDefault="00326F5F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1335DE" w:rsidRDefault="00326F5F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1:  FG50-1 has per-UE granularity, no FDD/TDD differentiation and no FR1/FR2 differentiation. 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2: FG50-1a has per-Band granularity.  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3: For the interpretation of the maximum numbers of CG configurations respectively in FG11-9 and FG50-1a, UE feature discussion takes into account the further progress from maintenance session about CG configuration index space. 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</w:t>
      </w:r>
      <w:r>
        <w:rPr>
          <w:b/>
          <w:bCs/>
          <w:i/>
          <w:iCs/>
          <w:szCs w:val="20"/>
        </w:rPr>
        <w:t>4</w:t>
      </w:r>
      <w:r>
        <w:rPr>
          <w:b/>
          <w:bCs/>
          <w:i/>
          <w:iCs/>
          <w:szCs w:val="20"/>
        </w:rPr>
        <w:t>: Chang</w:t>
      </w:r>
      <w:r>
        <w:rPr>
          <w:b/>
          <w:bCs/>
          <w:i/>
          <w:iCs/>
          <w:szCs w:val="20"/>
        </w:rPr>
        <w:t>e “</w:t>
      </w:r>
      <w:r>
        <w:rPr>
          <w:rFonts w:eastAsia="ＭＳ 明朝"/>
          <w:b/>
          <w:bCs/>
          <w:i/>
          <w:iCs/>
          <w:szCs w:val="20"/>
          <w:lang w:eastAsia="ja-JP"/>
        </w:rPr>
        <w:t>One or both of {5-19, 5-20}</w:t>
      </w:r>
      <w:r>
        <w:rPr>
          <w:b/>
          <w:bCs/>
          <w:i/>
          <w:iCs/>
          <w:szCs w:val="20"/>
        </w:rPr>
        <w:t>” in the prerequisite field to “</w:t>
      </w:r>
      <w:r>
        <w:rPr>
          <w:rFonts w:eastAsia="ＭＳ 明朝"/>
          <w:b/>
          <w:bCs/>
          <w:i/>
          <w:iCs/>
          <w:szCs w:val="20"/>
          <w:lang w:eastAsia="ja-JP"/>
        </w:rPr>
        <w:t xml:space="preserve">One </w:t>
      </w:r>
      <w:r>
        <w:rPr>
          <w:rFonts w:eastAsia="ＭＳ 明朝"/>
          <w:b/>
          <w:bCs/>
          <w:i/>
          <w:iCs/>
          <w:strike/>
          <w:szCs w:val="20"/>
          <w:lang w:eastAsia="ja-JP"/>
        </w:rPr>
        <w:t>or bot</w:t>
      </w:r>
      <w:r>
        <w:rPr>
          <w:rFonts w:eastAsia="ＭＳ 明朝"/>
          <w:b/>
          <w:bCs/>
          <w:i/>
          <w:iCs/>
          <w:strike/>
          <w:szCs w:val="20"/>
          <w:lang w:eastAsia="ja-JP"/>
        </w:rPr>
        <w:t>h</w:t>
      </w:r>
      <w:r>
        <w:rPr>
          <w:rFonts w:eastAsia="ＭＳ 明朝"/>
          <w:b/>
          <w:bCs/>
          <w:i/>
          <w:iCs/>
          <w:szCs w:val="20"/>
          <w:lang w:eastAsia="ja-JP"/>
        </w:rPr>
        <w:t xml:space="preserve"> of {5-19, 5-20}</w:t>
      </w:r>
      <w:r>
        <w:rPr>
          <w:b/>
          <w:bCs/>
          <w:i/>
          <w:iCs/>
          <w:szCs w:val="20"/>
        </w:rPr>
        <w:t>”</w:t>
      </w:r>
      <w:r>
        <w:rPr>
          <w:b/>
          <w:bCs/>
          <w:i/>
          <w:iCs/>
          <w:szCs w:val="20"/>
        </w:rPr>
        <w:t>.</w:t>
      </w:r>
    </w:p>
    <w:p w:rsidR="001335DE" w:rsidRDefault="00326F5F">
      <w:pPr>
        <w:pStyle w:val="BodyText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5: RAN1 considers to re-title FG50-3 to FG29-3f .    </w:t>
      </w:r>
    </w:p>
    <w:p w:rsidR="001335DE" w:rsidRDefault="001335DE">
      <w:pPr>
        <w:pStyle w:val="BodyText"/>
        <w:spacing w:before="120"/>
        <w:rPr>
          <w:rFonts w:eastAsia="SimSun"/>
          <w:szCs w:val="20"/>
          <w:lang w:eastAsia="zh-CN"/>
        </w:rPr>
      </w:pPr>
    </w:p>
    <w:p w:rsidR="001335DE" w:rsidRDefault="00326F5F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  <w:bookmarkStart w:id="3" w:name="_GoBack"/>
      <w:bookmarkEnd w:id="3"/>
    </w:p>
    <w:p w:rsidR="001335DE" w:rsidRDefault="00326F5F">
      <w:pPr>
        <w:numPr>
          <w:ilvl w:val="0"/>
          <w:numId w:val="11"/>
        </w:numPr>
        <w:spacing w:after="40"/>
        <w:ind w:hangingChars="210"/>
        <w:rPr>
          <w:szCs w:val="20"/>
        </w:rPr>
      </w:pPr>
      <w:r>
        <w:rPr>
          <w:rFonts w:eastAsia="SimSun"/>
          <w:color w:val="000000"/>
          <w:szCs w:val="20"/>
          <w:lang w:eastAsia="zh-CN"/>
        </w:rPr>
        <w:t>TS 38.822 v17.</w:t>
      </w:r>
      <w:r>
        <w:rPr>
          <w:rFonts w:eastAsia="SimSun"/>
          <w:color w:val="000000"/>
          <w:szCs w:val="20"/>
          <w:lang w:eastAsia="zh-CN"/>
        </w:rPr>
        <w:t>1</w:t>
      </w:r>
      <w:r>
        <w:rPr>
          <w:rFonts w:eastAsia="SimSun"/>
          <w:color w:val="000000"/>
          <w:szCs w:val="20"/>
          <w:lang w:eastAsia="zh-CN"/>
        </w:rPr>
        <w:t>.0,  NR User Equipment (UE) feature list (Release 17)</w:t>
      </w:r>
      <w:bookmarkStart w:id="4" w:name="_Ref475805663"/>
    </w:p>
    <w:p w:rsidR="001335DE" w:rsidRDefault="00326F5F">
      <w:pPr>
        <w:numPr>
          <w:ilvl w:val="0"/>
          <w:numId w:val="11"/>
        </w:numPr>
        <w:spacing w:after="40"/>
        <w:ind w:hangingChars="210"/>
        <w:rPr>
          <w:szCs w:val="20"/>
        </w:rPr>
      </w:pPr>
      <w:r>
        <w:rPr>
          <w:szCs w:val="20"/>
        </w:rPr>
        <w:t>R1-2310635</w:t>
      </w:r>
      <w:r>
        <w:rPr>
          <w:szCs w:val="20"/>
        </w:rPr>
        <w:t xml:space="preserve">, Updated </w:t>
      </w:r>
      <w:r>
        <w:rPr>
          <w:szCs w:val="20"/>
        </w:rPr>
        <w:t>RAN1 UE features list for Rel-18 NR after RAN1#114</w:t>
      </w:r>
      <w:r>
        <w:rPr>
          <w:szCs w:val="20"/>
        </w:rPr>
        <w:t>bis</w:t>
      </w:r>
      <w:r>
        <w:rPr>
          <w:szCs w:val="20"/>
        </w:rPr>
        <w:t>, Moderators (AT&amp;T, NTT DOCOMO, INC.)</w:t>
      </w:r>
      <w:bookmarkEnd w:id="4"/>
    </w:p>
    <w:p w:rsidR="001335DE" w:rsidRDefault="001335DE">
      <w:pPr>
        <w:spacing w:after="40"/>
        <w:ind w:leftChars="-210" w:left="-420"/>
        <w:rPr>
          <w:rFonts w:eastAsia="SimSun"/>
          <w:color w:val="000000"/>
          <w:lang w:eastAsia="zh-CN"/>
        </w:rPr>
      </w:pPr>
    </w:p>
    <w:p w:rsidR="001335DE" w:rsidRDefault="001335DE">
      <w:pPr>
        <w:pStyle w:val="BodyText"/>
      </w:pPr>
    </w:p>
    <w:sectPr w:rsidR="001335DE" w:rsidSect="001335DE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5DE" w:rsidRDefault="001335DE" w:rsidP="001335DE">
      <w:r>
        <w:separator/>
      </w:r>
    </w:p>
  </w:endnote>
  <w:endnote w:type="continuationSeparator" w:id="0">
    <w:p w:rsidR="001335DE" w:rsidRDefault="001335DE" w:rsidP="00133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ＭＳ 明朝">
    <w:altName w:val="FreeSerif"/>
    <w:charset w:val="00"/>
    <w:family w:val="roma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8266"/>
    </w:sdtPr>
    <w:sdtContent>
      <w:p w:rsidR="001335DE" w:rsidRDefault="001335DE">
        <w:pPr>
          <w:pStyle w:val="Footer"/>
          <w:jc w:val="center"/>
        </w:pPr>
        <w:r>
          <w:fldChar w:fldCharType="begin"/>
        </w:r>
        <w:r w:rsidR="00326F5F">
          <w:instrText xml:space="preserve"> PAGE   \* MERGEFORMAT </w:instrText>
        </w:r>
        <w:r>
          <w:fldChar w:fldCharType="separate"/>
        </w:r>
        <w:r w:rsidR="00326F5F">
          <w:rPr>
            <w:noProof/>
          </w:rPr>
          <w:t>1</w:t>
        </w:r>
        <w:r>
          <w:fldChar w:fldCharType="end"/>
        </w:r>
      </w:p>
    </w:sdtContent>
  </w:sdt>
  <w:p w:rsidR="001335DE" w:rsidRDefault="001335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5DE" w:rsidRDefault="001335DE" w:rsidP="001335DE">
      <w:r>
        <w:separator/>
      </w:r>
    </w:p>
  </w:footnote>
  <w:footnote w:type="continuationSeparator" w:id="0">
    <w:p w:rsidR="001335DE" w:rsidRDefault="001335DE" w:rsidP="001335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DE" w:rsidRDefault="001335DE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  <w:num w:numId="9">
    <w:abstractNumId w:val="3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</w:compat>
  <w:rsids>
    <w:rsidRoot w:val="00B87FBC"/>
    <w:rsid w:val="8D3E5D01"/>
    <w:rsid w:val="9CBFA3D0"/>
    <w:rsid w:val="B0FCB2E1"/>
    <w:rsid w:val="B7EFA944"/>
    <w:rsid w:val="B9F5569D"/>
    <w:rsid w:val="BEE5A6FA"/>
    <w:rsid w:val="BFF63C71"/>
    <w:rsid w:val="CFE59CEF"/>
    <w:rsid w:val="D4D67F72"/>
    <w:rsid w:val="D9BFBADC"/>
    <w:rsid w:val="DBFFA4F4"/>
    <w:rsid w:val="DD76A23B"/>
    <w:rsid w:val="DEFF66CE"/>
    <w:rsid w:val="DF3E8DDC"/>
    <w:rsid w:val="DF5A70F9"/>
    <w:rsid w:val="DFD98BA0"/>
    <w:rsid w:val="DFEB6547"/>
    <w:rsid w:val="E5F74C0C"/>
    <w:rsid w:val="EC3B5950"/>
    <w:rsid w:val="EEDB182E"/>
    <w:rsid w:val="F5859ECD"/>
    <w:rsid w:val="FBF7C9A6"/>
    <w:rsid w:val="FDEFC181"/>
    <w:rsid w:val="FE578F67"/>
    <w:rsid w:val="FF3E2BA0"/>
    <w:rsid w:val="FF7F1E36"/>
    <w:rsid w:val="FFDF0FD1"/>
    <w:rsid w:val="FFF6F2E1"/>
    <w:rsid w:val="FFFF0F24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5DE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6F5F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B60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CDF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C2B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02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33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EF6DC57"/>
    <w:rsid w:val="1F5B7F00"/>
    <w:rsid w:val="211A1CC4"/>
    <w:rsid w:val="2E9F0322"/>
    <w:rsid w:val="2F0133F8"/>
    <w:rsid w:val="39FE3DF7"/>
    <w:rsid w:val="3DE75D7C"/>
    <w:rsid w:val="3FDF02ED"/>
    <w:rsid w:val="3FFF47FB"/>
    <w:rsid w:val="56BCAA7A"/>
    <w:rsid w:val="5939350A"/>
    <w:rsid w:val="5FBFAEB5"/>
    <w:rsid w:val="63063AB4"/>
    <w:rsid w:val="68FF7FD5"/>
    <w:rsid w:val="6EEE9743"/>
    <w:rsid w:val="755F013D"/>
    <w:rsid w:val="75FD8E68"/>
    <w:rsid w:val="79FD25C5"/>
    <w:rsid w:val="7B7D92D8"/>
    <w:rsid w:val="7BFFC209"/>
    <w:rsid w:val="7FAB6C71"/>
    <w:rsid w:val="7FBDAF37"/>
    <w:rsid w:val="7FF7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35DE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1335DE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1335DE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1335D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335D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35D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335D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335D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335D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1335D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335DE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1335DE"/>
    <w:rPr>
      <w:sz w:val="18"/>
      <w:szCs w:val="18"/>
    </w:rPr>
  </w:style>
  <w:style w:type="paragraph" w:styleId="BodyText2">
    <w:name w:val="Body Text 2"/>
    <w:basedOn w:val="Normal"/>
    <w:qFormat/>
    <w:rsid w:val="001335DE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1335DE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1335DE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1335DE"/>
  </w:style>
  <w:style w:type="paragraph" w:styleId="CommentSubject">
    <w:name w:val="annotation subject"/>
    <w:basedOn w:val="CommentText"/>
    <w:next w:val="CommentText"/>
    <w:semiHidden/>
    <w:qFormat/>
    <w:rsid w:val="001335DE"/>
    <w:rPr>
      <w:b/>
      <w:bCs/>
    </w:rPr>
  </w:style>
  <w:style w:type="paragraph" w:styleId="DocumentMap">
    <w:name w:val="Document Map"/>
    <w:basedOn w:val="Normal"/>
    <w:semiHidden/>
    <w:qFormat/>
    <w:rsid w:val="001335DE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1335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1335D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1335DE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1335DE"/>
    <w:pPr>
      <w:ind w:left="283" w:hanging="283"/>
    </w:pPr>
  </w:style>
  <w:style w:type="paragraph" w:styleId="List2">
    <w:name w:val="List 2"/>
    <w:basedOn w:val="List"/>
    <w:qFormat/>
    <w:rsid w:val="001335DE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1335DE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1335DE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1335DE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1335DE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1335DE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1335DE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1335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1335DE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1335D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1335D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1335DE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1335DE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1335D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1335D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1335DE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1335DE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335DE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1335DE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1335DE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1335DE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1335DE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1335DE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1335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1335DE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1335DE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1335DE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1335D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1335D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1335DE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1335DE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1335D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1335DE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1335DE"/>
    <w:rPr>
      <w:b/>
    </w:rPr>
  </w:style>
  <w:style w:type="paragraph" w:customStyle="1" w:styleId="TAC">
    <w:name w:val="TAC"/>
    <w:basedOn w:val="Normal"/>
    <w:link w:val="TACChar"/>
    <w:qFormat/>
    <w:rsid w:val="001335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1335D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1335DE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1335DE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1335DE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1335DE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1335DE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1335DE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1335DE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1335DE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1335D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1335D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1335DE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1335DE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1335DE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1335DE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1335DE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1335DE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1335DE"/>
    <w:pPr>
      <w:ind w:left="851" w:hanging="851"/>
    </w:pPr>
  </w:style>
  <w:style w:type="paragraph" w:customStyle="1" w:styleId="LGTdoc">
    <w:name w:val="LGTdoc_본문"/>
    <w:basedOn w:val="Normal"/>
    <w:qFormat/>
    <w:rsid w:val="001335D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1335DE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335DE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1335DE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335DE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1335DE"/>
  </w:style>
  <w:style w:type="character" w:customStyle="1" w:styleId="apple-converted-space">
    <w:name w:val="apple-converted-space"/>
    <w:qFormat/>
    <w:rsid w:val="001335DE"/>
  </w:style>
  <w:style w:type="character" w:customStyle="1" w:styleId="PlainTextChar">
    <w:name w:val="Plain Text Char"/>
    <w:link w:val="PlainText"/>
    <w:uiPriority w:val="99"/>
    <w:qFormat/>
    <w:rsid w:val="001335DE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1335D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1335DE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1335DE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1335D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1335DE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1335DE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1335DE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1335DE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1335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1335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1335DE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1335D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1335DE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1335DE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1335DE"/>
  </w:style>
  <w:style w:type="character" w:customStyle="1" w:styleId="10">
    <w:name w:val="列表段落 字符1"/>
    <w:uiPriority w:val="34"/>
    <w:qFormat/>
    <w:locked/>
    <w:rsid w:val="001335DE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1335DE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1335DE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335DE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569</Words>
  <Characters>3100</Characters>
  <Application>Microsoft Office Word</Application>
  <DocSecurity>0</DocSecurity>
  <Lines>25</Lines>
  <Paragraphs>7</Paragraphs>
  <ScaleCrop>false</ScaleCrop>
  <Company>OPPO</Company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15</cp:revision>
  <cp:lastPrinted>2007-08-25T14:45:00Z</cp:lastPrinted>
  <dcterms:created xsi:type="dcterms:W3CDTF">2023-08-07T12:20:00Z</dcterms:created>
  <dcterms:modified xsi:type="dcterms:W3CDTF">2023-10-31T17:20:00Z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1033-11.1.0.11704</vt:lpwstr>
  </property>
  <property fmtid="{D5CDD505-2E9C-101B-9397-08002B2CF9AE}" pid="3" name="ICV">
    <vt:lpwstr>7C76EF09019845D88947C3751A5DCFE9_12</vt:lpwstr>
  </property>
</Properties>
</file>